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82" w:rsidRPr="00661982" w:rsidRDefault="00661982" w:rsidP="00661982">
      <w:pPr>
        <w:jc w:val="center"/>
        <w:rPr>
          <w:rFonts w:asciiTheme="minorHAnsi" w:hAnsiTheme="minorHAnsi"/>
          <w:sz w:val="30"/>
          <w:szCs w:val="30"/>
        </w:rPr>
      </w:pPr>
      <w:r w:rsidRPr="00661982">
        <w:rPr>
          <w:rFonts w:asciiTheme="minorHAnsi" w:hAnsiTheme="minorHAnsi" w:cs="Arial"/>
          <w:b/>
          <w:bCs/>
          <w:sz w:val="30"/>
          <w:szCs w:val="30"/>
        </w:rPr>
        <w:t>National Health Advisory</w:t>
      </w:r>
      <w:r w:rsidRPr="00661982">
        <w:rPr>
          <w:rFonts w:asciiTheme="minorHAnsi" w:hAnsiTheme="minorHAnsi"/>
          <w:sz w:val="30"/>
          <w:szCs w:val="30"/>
        </w:rPr>
        <w:t xml:space="preserve"> </w:t>
      </w:r>
      <w:bookmarkStart w:id="0" w:name="_GoBack"/>
      <w:bookmarkEnd w:id="0"/>
      <w:r w:rsidRPr="00661982">
        <w:rPr>
          <w:rFonts w:asciiTheme="minorHAnsi" w:hAnsiTheme="minorHAnsi"/>
          <w:sz w:val="30"/>
          <w:szCs w:val="30"/>
        </w:rPr>
        <w:br/>
      </w:r>
      <w:r w:rsidRPr="00661982">
        <w:rPr>
          <w:rFonts w:asciiTheme="minorHAnsi" w:hAnsiTheme="minorHAnsi" w:cs="Arial"/>
          <w:b/>
          <w:bCs/>
          <w:sz w:val="30"/>
          <w:szCs w:val="30"/>
        </w:rPr>
        <w:t>Notification of measles outbreaks overseas</w:t>
      </w:r>
    </w:p>
    <w:p w:rsidR="007237F5" w:rsidRPr="00661982" w:rsidRDefault="00661982" w:rsidP="00661982">
      <w:pPr>
        <w:pStyle w:val="NormalWeb"/>
        <w:rPr>
          <w:rFonts w:asciiTheme="minorHAnsi" w:hAnsiTheme="minorHAnsi"/>
        </w:rPr>
      </w:pPr>
      <w:r w:rsidRPr="00661982">
        <w:rPr>
          <w:rFonts w:asciiTheme="minorHAnsi" w:hAnsiTheme="minorHAnsi"/>
        </w:rPr>
        <w:br/>
      </w:r>
      <w:r w:rsidRPr="00661982">
        <w:rPr>
          <w:rFonts w:asciiTheme="minorHAnsi" w:hAnsiTheme="minorHAnsi" w:cs="Arial"/>
          <w:b/>
          <w:bCs/>
        </w:rPr>
        <w:t>FOR THE ATTENTION OF:</w:t>
      </w:r>
      <w:r w:rsidRPr="00661982">
        <w:rPr>
          <w:rFonts w:asciiTheme="minorHAnsi" w:hAnsiTheme="minorHAnsi" w:cs="Arial"/>
        </w:rPr>
        <w:t xml:space="preserve"> </w:t>
      </w:r>
      <w:r w:rsidRPr="00661982">
        <w:rPr>
          <w:rFonts w:asciiTheme="minorHAnsi" w:hAnsiTheme="minorHAnsi"/>
        </w:rPr>
        <w:br/>
      </w:r>
      <w:r w:rsidRPr="00661982">
        <w:rPr>
          <w:rFonts w:asciiTheme="minorHAnsi" w:hAnsiTheme="minorHAnsi" w:cs="Arial"/>
        </w:rPr>
        <w:br/>
      </w:r>
      <w:r w:rsidRPr="00661982">
        <w:rPr>
          <w:rFonts w:asciiTheme="minorHAnsi" w:hAnsiTheme="minorHAnsi" w:cs="Arial"/>
          <w:u w:val="single"/>
        </w:rPr>
        <w:t>Received this email directly</w:t>
      </w:r>
      <w:r w:rsidRPr="00661982">
        <w:rPr>
          <w:rFonts w:asciiTheme="minorHAnsi" w:hAnsiTheme="minorHAnsi" w:cs="Arial"/>
        </w:rPr>
        <w:br/>
      </w:r>
      <w:r w:rsidRPr="00661982">
        <w:rPr>
          <w:rFonts w:asciiTheme="minorHAnsi" w:hAnsiTheme="minorHAnsi" w:cs="Arial"/>
        </w:rPr>
        <w:br/>
        <w:t xml:space="preserve">1)        DHB Single Points of Contact </w:t>
      </w:r>
      <w:r w:rsidRPr="00661982">
        <w:rPr>
          <w:rFonts w:asciiTheme="minorHAnsi" w:hAnsiTheme="minorHAnsi" w:cs="Arial"/>
        </w:rPr>
        <w:br/>
        <w:t xml:space="preserve">2)        DHB Emergency Planners / Managers </w:t>
      </w:r>
      <w:r w:rsidRPr="00661982">
        <w:rPr>
          <w:rFonts w:asciiTheme="minorHAnsi" w:hAnsiTheme="minorHAnsi"/>
        </w:rPr>
        <w:br/>
      </w:r>
      <w:r w:rsidRPr="00661982">
        <w:rPr>
          <w:rFonts w:asciiTheme="minorHAnsi" w:hAnsiTheme="minorHAnsi" w:cs="Arial"/>
        </w:rPr>
        <w:t xml:space="preserve">3)        Public Health Unit Managers </w:t>
      </w:r>
      <w:r w:rsidRPr="00661982">
        <w:rPr>
          <w:rFonts w:asciiTheme="minorHAnsi" w:hAnsiTheme="minorHAnsi"/>
        </w:rPr>
        <w:br/>
      </w:r>
      <w:r w:rsidRPr="00661982">
        <w:rPr>
          <w:rFonts w:asciiTheme="minorHAnsi" w:hAnsiTheme="minorHAnsi"/>
        </w:rPr>
        <w:br/>
      </w:r>
      <w:r w:rsidRPr="00661982">
        <w:rPr>
          <w:rFonts w:asciiTheme="minorHAnsi" w:hAnsiTheme="minorHAnsi" w:cs="Arial"/>
          <w:u w:val="single"/>
        </w:rPr>
        <w:t>Forward required</w:t>
      </w:r>
      <w:r w:rsidRPr="00661982">
        <w:rPr>
          <w:rFonts w:asciiTheme="minorHAnsi" w:hAnsiTheme="minorHAnsi" w:cs="Arial"/>
        </w:rPr>
        <w:br/>
        <w:t xml:space="preserve">4)        Medical Officers of Health </w:t>
      </w:r>
      <w:r w:rsidRPr="00661982">
        <w:rPr>
          <w:rFonts w:asciiTheme="minorHAnsi" w:hAnsiTheme="minorHAnsi" w:cs="Arial"/>
        </w:rPr>
        <w:br/>
        <w:t xml:space="preserve">5)        Chief Medical Officer </w:t>
      </w:r>
      <w:r w:rsidRPr="00661982">
        <w:rPr>
          <w:rFonts w:asciiTheme="minorHAnsi" w:hAnsiTheme="minorHAnsi" w:cs="Arial"/>
        </w:rPr>
        <w:br/>
        <w:t xml:space="preserve">6)        Director of Nursing </w:t>
      </w:r>
      <w:r w:rsidRPr="00661982">
        <w:rPr>
          <w:rFonts w:asciiTheme="minorHAnsi" w:hAnsiTheme="minorHAnsi" w:cs="Arial"/>
        </w:rPr>
        <w:br/>
        <w:t xml:space="preserve">7)        GP Liaison Officers </w:t>
      </w:r>
      <w:r w:rsidRPr="00661982">
        <w:rPr>
          <w:rFonts w:asciiTheme="minorHAnsi" w:hAnsiTheme="minorHAnsi" w:cs="Arial"/>
        </w:rPr>
        <w:br/>
        <w:t xml:space="preserve">8)        Communications Managers </w:t>
      </w:r>
      <w:r w:rsidRPr="00661982">
        <w:rPr>
          <w:rFonts w:asciiTheme="minorHAnsi" w:hAnsiTheme="minorHAnsi" w:cs="Arial"/>
        </w:rPr>
        <w:br/>
        <w:t>9)        Ministry of Foreign Affairs and Trade</w:t>
      </w:r>
      <w:r w:rsidRPr="00661982">
        <w:rPr>
          <w:rFonts w:asciiTheme="minorHAnsi" w:hAnsiTheme="minorHAnsi" w:cs="Arial"/>
        </w:rPr>
        <w:br/>
      </w:r>
      <w:r w:rsidRPr="00661982">
        <w:rPr>
          <w:rFonts w:asciiTheme="minorHAnsi" w:hAnsiTheme="minorHAnsi"/>
        </w:rPr>
        <w:br/>
      </w:r>
      <w:r w:rsidRPr="00661982">
        <w:rPr>
          <w:rFonts w:asciiTheme="minorHAnsi" w:hAnsiTheme="minorHAnsi" w:cs="Arial"/>
        </w:rPr>
        <w:t xml:space="preserve">This advisory has been sent separately to </w:t>
      </w:r>
      <w:proofErr w:type="spellStart"/>
      <w:r w:rsidRPr="00661982">
        <w:rPr>
          <w:rFonts w:asciiTheme="minorHAnsi" w:hAnsiTheme="minorHAnsi" w:cs="Arial"/>
          <w:b/>
          <w:bCs/>
        </w:rPr>
        <w:t>Healthline</w:t>
      </w:r>
      <w:proofErr w:type="spellEnd"/>
      <w:r w:rsidRPr="00661982">
        <w:rPr>
          <w:rFonts w:asciiTheme="minorHAnsi" w:hAnsiTheme="minorHAnsi" w:cs="Arial"/>
          <w:b/>
          <w:bCs/>
        </w:rPr>
        <w:t xml:space="preserve">, </w:t>
      </w:r>
      <w:proofErr w:type="spellStart"/>
      <w:r w:rsidRPr="00661982">
        <w:rPr>
          <w:rFonts w:asciiTheme="minorHAnsi" w:hAnsiTheme="minorHAnsi" w:cs="Arial"/>
          <w:b/>
          <w:bCs/>
        </w:rPr>
        <w:t>Plunketline</w:t>
      </w:r>
      <w:proofErr w:type="spellEnd"/>
      <w:r w:rsidRPr="00661982">
        <w:rPr>
          <w:rFonts w:asciiTheme="minorHAnsi" w:hAnsiTheme="minorHAnsi" w:cs="Arial"/>
          <w:b/>
          <w:bCs/>
        </w:rPr>
        <w:t>, GPNZ, RNZCGP.</w:t>
      </w:r>
      <w:r w:rsidRPr="00661982">
        <w:rPr>
          <w:rFonts w:asciiTheme="minorHAnsi" w:hAnsiTheme="minorHAnsi" w:cs="Arial"/>
        </w:rPr>
        <w:br/>
      </w:r>
      <w:r w:rsidRPr="00661982">
        <w:rPr>
          <w:rFonts w:asciiTheme="minorHAnsi" w:hAnsiTheme="minorHAnsi" w:cs="Arial"/>
          <w:b/>
          <w:bCs/>
        </w:rPr>
        <w:br/>
        <w:t>ACTIONS:</w:t>
      </w:r>
      <w:r w:rsidRPr="00661982">
        <w:rPr>
          <w:rFonts w:asciiTheme="minorHAnsi" w:hAnsiTheme="minorHAnsi" w:cs="Arial"/>
        </w:rPr>
        <w:t xml:space="preserve"> </w:t>
      </w:r>
      <w:r w:rsidRPr="00661982">
        <w:rPr>
          <w:rFonts w:asciiTheme="minorHAnsi" w:hAnsiTheme="minorHAnsi"/>
        </w:rPr>
        <w:br/>
      </w:r>
      <w:r w:rsidRPr="00661982">
        <w:rPr>
          <w:rFonts w:asciiTheme="minorHAnsi" w:hAnsiTheme="minorHAnsi" w:cs="Arial"/>
        </w:rPr>
        <w:t>1</w:t>
      </w:r>
      <w:proofErr w:type="gramStart"/>
      <w:r w:rsidRPr="00661982">
        <w:rPr>
          <w:rFonts w:asciiTheme="minorHAnsi" w:hAnsiTheme="minorHAnsi" w:cs="Arial"/>
        </w:rPr>
        <w:t>.  Recipients</w:t>
      </w:r>
      <w:proofErr w:type="gramEnd"/>
      <w:r w:rsidRPr="00661982">
        <w:rPr>
          <w:rFonts w:asciiTheme="minorHAnsi" w:hAnsiTheme="minorHAnsi" w:cs="Arial"/>
        </w:rPr>
        <w:t xml:space="preserve"> from group 1-3 (above) </w:t>
      </w:r>
      <w:r w:rsidRPr="00661982">
        <w:rPr>
          <w:rFonts w:asciiTheme="minorHAnsi" w:hAnsiTheme="minorHAnsi" w:cs="Arial"/>
          <w:b/>
          <w:bCs/>
        </w:rPr>
        <w:t> </w:t>
      </w:r>
      <w:r w:rsidRPr="00661982">
        <w:rPr>
          <w:rFonts w:asciiTheme="minorHAnsi" w:hAnsiTheme="minorHAnsi" w:cs="Arial"/>
        </w:rPr>
        <w:t xml:space="preserve">acknowledge the receipt of this e-mail to </w:t>
      </w:r>
      <w:hyperlink r:id="rId7" w:history="1">
        <w:r w:rsidRPr="00661982">
          <w:rPr>
            <w:rStyle w:val="Hyperlink"/>
            <w:rFonts w:asciiTheme="minorHAnsi" w:hAnsiTheme="minorHAnsi" w:cs="Arial"/>
            <w:color w:val="0082BF"/>
          </w:rPr>
          <w:t>nhcc_spoc@moh.govt.nz</w:t>
        </w:r>
      </w:hyperlink>
      <w:r w:rsidRPr="00661982">
        <w:rPr>
          <w:rFonts w:asciiTheme="minorHAnsi" w:hAnsiTheme="minorHAnsi" w:cs="Arial"/>
        </w:rPr>
        <w:t>, other recipients need not acknowledge</w:t>
      </w:r>
      <w:r w:rsidRPr="00661982">
        <w:rPr>
          <w:rFonts w:asciiTheme="minorHAnsi" w:hAnsiTheme="minorHAnsi"/>
        </w:rPr>
        <w:t xml:space="preserve"> </w:t>
      </w:r>
      <w:r w:rsidRPr="00661982">
        <w:rPr>
          <w:rFonts w:asciiTheme="minorHAnsi" w:hAnsiTheme="minorHAnsi"/>
        </w:rPr>
        <w:br/>
      </w:r>
      <w:r w:rsidRPr="00661982">
        <w:rPr>
          <w:rFonts w:asciiTheme="minorHAnsi" w:hAnsiTheme="minorHAnsi" w:cs="Arial"/>
        </w:rPr>
        <w:t>2.  </w:t>
      </w:r>
      <w:proofErr w:type="gramStart"/>
      <w:r w:rsidRPr="00661982">
        <w:rPr>
          <w:rFonts w:asciiTheme="minorHAnsi" w:hAnsiTheme="minorHAnsi" w:cs="Arial"/>
        </w:rPr>
        <w:t>Forward internally within your organisation as per the 'attention of section' above</w:t>
      </w:r>
      <w:r w:rsidRPr="00661982">
        <w:rPr>
          <w:rFonts w:asciiTheme="minorHAnsi" w:hAnsiTheme="minorHAnsi"/>
        </w:rPr>
        <w:t xml:space="preserve"> </w:t>
      </w:r>
      <w:r w:rsidRPr="00661982">
        <w:rPr>
          <w:rFonts w:asciiTheme="minorHAnsi" w:hAnsiTheme="minorHAnsi"/>
        </w:rPr>
        <w:br/>
      </w:r>
      <w:r w:rsidRPr="00661982">
        <w:rPr>
          <w:rFonts w:asciiTheme="minorHAnsi" w:hAnsiTheme="minorHAnsi" w:cs="Arial"/>
        </w:rPr>
        <w:t>3.</w:t>
      </w:r>
      <w:proofErr w:type="gramEnd"/>
      <w:r w:rsidRPr="00661982">
        <w:rPr>
          <w:rFonts w:asciiTheme="minorHAnsi" w:hAnsiTheme="minorHAnsi" w:cs="Arial"/>
        </w:rPr>
        <w:t xml:space="preserve">  PHU Managers to please forward to Medical Officers of Health who may not be on the distribution list above. </w:t>
      </w:r>
      <w:r w:rsidRPr="00661982">
        <w:rPr>
          <w:rFonts w:asciiTheme="minorHAnsi" w:hAnsiTheme="minorHAnsi"/>
        </w:rPr>
        <w:br/>
      </w:r>
      <w:r w:rsidRPr="00661982">
        <w:rPr>
          <w:rFonts w:asciiTheme="minorHAnsi" w:hAnsiTheme="minorHAnsi" w:cs="Arial"/>
        </w:rPr>
        <w:t>4.  Please forward</w:t>
      </w:r>
      <w:r w:rsidRPr="00661982">
        <w:rPr>
          <w:rFonts w:asciiTheme="minorHAnsi" w:hAnsiTheme="minorHAnsi" w:cs="Arial"/>
          <w:b/>
          <w:bCs/>
        </w:rPr>
        <w:t xml:space="preserve"> </w:t>
      </w:r>
      <w:r w:rsidRPr="00661982">
        <w:rPr>
          <w:rFonts w:asciiTheme="minorHAnsi" w:hAnsiTheme="minorHAnsi" w:cs="Arial"/>
          <w:b/>
          <w:bCs/>
          <w:u w:val="single"/>
        </w:rPr>
        <w:t>to your primary care contacts including: general practitioners, pharmacists and primary health organisations in your region</w:t>
      </w:r>
      <w:r w:rsidRPr="00661982">
        <w:rPr>
          <w:rFonts w:asciiTheme="minorHAnsi" w:hAnsiTheme="minorHAnsi" w:cs="Arial"/>
          <w:b/>
          <w:bCs/>
        </w:rPr>
        <w:t xml:space="preserve">. </w:t>
      </w:r>
      <w:r w:rsidRPr="00661982">
        <w:rPr>
          <w:rFonts w:asciiTheme="minorHAnsi" w:hAnsiTheme="minorHAnsi" w:cs="Arial"/>
        </w:rPr>
        <w:br/>
      </w:r>
      <w:r w:rsidRPr="00661982">
        <w:rPr>
          <w:rFonts w:asciiTheme="minorHAnsi" w:hAnsiTheme="minorHAnsi" w:cs="Arial"/>
        </w:rPr>
        <w:br/>
      </w:r>
      <w:r w:rsidRPr="00661982">
        <w:rPr>
          <w:rFonts w:asciiTheme="minorHAnsi" w:hAnsiTheme="minorHAnsi" w:cs="Arial"/>
          <w:b/>
          <w:bCs/>
        </w:rPr>
        <w:br/>
        <w:t>ADVISORY SUMMARY:</w:t>
      </w:r>
      <w:r w:rsidRPr="00661982">
        <w:rPr>
          <w:rFonts w:asciiTheme="minorHAnsi" w:hAnsiTheme="minorHAnsi" w:cs="Arial"/>
        </w:rPr>
        <w:t xml:space="preserve"> </w:t>
      </w:r>
      <w:r w:rsidRPr="00661982">
        <w:rPr>
          <w:rFonts w:asciiTheme="minorHAnsi" w:hAnsiTheme="minorHAnsi"/>
        </w:rPr>
        <w:br/>
      </w:r>
      <w:r w:rsidRPr="00661982">
        <w:rPr>
          <w:rFonts w:asciiTheme="minorHAnsi" w:hAnsiTheme="minorHAnsi"/>
        </w:rPr>
        <w:br/>
      </w:r>
      <w:r w:rsidRPr="00661982">
        <w:rPr>
          <w:rFonts w:asciiTheme="minorHAnsi" w:hAnsiTheme="minorHAnsi" w:cs="Arial"/>
        </w:rPr>
        <w:t xml:space="preserve">There are currently significant measles outbreaks overseas, including in the Philippines and some European countries.  For countries that are affected, please check the Centres for Disease Control and Prevention (CDC, USA) website for travel updates </w:t>
      </w:r>
      <w:r w:rsidRPr="00661982">
        <w:rPr>
          <w:rFonts w:asciiTheme="minorHAnsi" w:hAnsiTheme="minorHAnsi" w:cs="Arial"/>
          <w:color w:val="2F2F2F"/>
        </w:rPr>
        <w:t xml:space="preserve">- </w:t>
      </w:r>
      <w:hyperlink r:id="rId8" w:history="1">
        <w:r w:rsidRPr="00661982">
          <w:rPr>
            <w:rStyle w:val="Hyperlink"/>
            <w:rFonts w:asciiTheme="minorHAnsi" w:hAnsiTheme="minorHAnsi" w:cs="Arial"/>
          </w:rPr>
          <w:t>https://www.cdc.gov/measles/travelers.html</w:t>
        </w:r>
      </w:hyperlink>
      <w:r w:rsidRPr="00661982">
        <w:rPr>
          <w:rFonts w:asciiTheme="minorHAnsi" w:hAnsiTheme="minorHAnsi" w:cs="Arial"/>
          <w:color w:val="2F2F2F"/>
        </w:rPr>
        <w:t xml:space="preserve">. </w:t>
      </w:r>
      <w:r w:rsidRPr="00661982">
        <w:rPr>
          <w:rFonts w:asciiTheme="minorHAnsi" w:hAnsiTheme="minorHAnsi" w:cs="Arial"/>
          <w:color w:val="2F2F2F"/>
        </w:rPr>
        <w:br/>
      </w:r>
      <w:r w:rsidRPr="00661982">
        <w:rPr>
          <w:rFonts w:asciiTheme="minorHAnsi" w:hAnsiTheme="minorHAnsi" w:cs="Arial"/>
          <w:color w:val="2F2F2F"/>
        </w:rPr>
        <w:br/>
      </w:r>
      <w:r w:rsidRPr="00661982">
        <w:rPr>
          <w:rFonts w:asciiTheme="minorHAnsi" w:hAnsiTheme="minorHAnsi" w:cs="Arial"/>
        </w:rPr>
        <w:t>The Ministry of Health is advising practices to be alert to the possibility of measles among patients who have recently travelled through its regular information to practices about immunisation issues.  </w:t>
      </w:r>
      <w:r w:rsidRPr="00661982">
        <w:rPr>
          <w:rFonts w:asciiTheme="minorHAnsi" w:hAnsiTheme="minorHAnsi" w:cs="Arial"/>
        </w:rPr>
        <w:br/>
      </w:r>
      <w:r w:rsidRPr="00661982">
        <w:rPr>
          <w:rFonts w:asciiTheme="minorHAnsi" w:hAnsiTheme="minorHAnsi" w:cs="Arial"/>
        </w:rPr>
        <w:br/>
        <w:t xml:space="preserve">We are also advising people travelling overseas to make sure they are fully immunised against measles before they go.  In particular, the Ministry recommends that infants aged 6-15 months travelling to countries where there is a current measles outbreak be given MMR </w:t>
      </w:r>
      <w:r w:rsidRPr="00661982">
        <w:rPr>
          <w:rFonts w:asciiTheme="minorHAnsi" w:hAnsiTheme="minorHAnsi" w:cs="Arial"/>
        </w:rPr>
        <w:lastRenderedPageBreak/>
        <w:t xml:space="preserve">vaccine before they travel. </w:t>
      </w:r>
      <w:r w:rsidRPr="00661982">
        <w:rPr>
          <w:rFonts w:asciiTheme="minorHAnsi" w:hAnsiTheme="minorHAnsi"/>
        </w:rPr>
        <w:br/>
      </w:r>
      <w:r w:rsidRPr="00661982">
        <w:rPr>
          <w:rFonts w:asciiTheme="minorHAnsi" w:hAnsiTheme="minorHAnsi" w:cs="Arial"/>
        </w:rPr>
        <w:br/>
        <w:t xml:space="preserve">MMR can be given to infants aged 6-11 months if there is a high risk of exposure to measles. The vaccine given to this age group can be entered on the National Immunisation Register using your PMS high risk MMR vaccine option leaving the scheduled 15 month and 4 year MMR vaccine still be to given in the future as per the Immunisation Schedule.  These younger infants will need two further doses of MMR as per the Immunisation Schedule as the effectiveness of the vaccine is lower in this age group. The additional vaccination at 6-11 months of age is funded as it meets eligibility criteria 3 and 4 for the funding of the MMR vaccine in the Pharmaceutical Schedule - </w:t>
      </w:r>
      <w:hyperlink r:id="rId9" w:history="1">
        <w:r w:rsidRPr="00661982">
          <w:rPr>
            <w:rStyle w:val="Hyperlink"/>
            <w:rFonts w:asciiTheme="minorHAnsi" w:hAnsiTheme="minorHAnsi" w:cs="Arial"/>
          </w:rPr>
          <w:t>https://www.pharmac.govt.nz/wwwtrs/ScheduleOnline.php?osq=priorix</w:t>
        </w:r>
      </w:hyperlink>
      <w:r w:rsidRPr="00661982">
        <w:rPr>
          <w:rFonts w:asciiTheme="minorHAnsi" w:hAnsiTheme="minorHAnsi" w:cs="Arial"/>
          <w:color w:val="2F2F2F"/>
        </w:rPr>
        <w:t>.</w:t>
      </w:r>
      <w:r w:rsidRPr="00661982">
        <w:rPr>
          <w:rFonts w:asciiTheme="minorHAnsi" w:hAnsiTheme="minorHAnsi"/>
          <w:color w:val="2F2F2F"/>
        </w:rPr>
        <w:t xml:space="preserve"> </w:t>
      </w:r>
      <w:r w:rsidRPr="00661982">
        <w:rPr>
          <w:rFonts w:asciiTheme="minorHAnsi" w:hAnsiTheme="minorHAnsi"/>
          <w:color w:val="2F2F2F"/>
        </w:rPr>
        <w:br/>
      </w:r>
      <w:r w:rsidRPr="00661982">
        <w:rPr>
          <w:rFonts w:asciiTheme="minorHAnsi" w:hAnsiTheme="minorHAnsi" w:cs="Arial"/>
          <w:color w:val="2F2F2F"/>
        </w:rPr>
        <w:br/>
      </w:r>
      <w:r w:rsidRPr="00661982">
        <w:rPr>
          <w:rFonts w:asciiTheme="minorHAnsi" w:hAnsiTheme="minorHAnsi" w:cs="Arial"/>
        </w:rPr>
        <w:t xml:space="preserve">The scheduled 15 month MMR dose can be given as early as 12 months and is funded as usual. </w:t>
      </w:r>
      <w:r w:rsidRPr="00661982">
        <w:rPr>
          <w:rFonts w:asciiTheme="minorHAnsi" w:hAnsiTheme="minorHAnsi" w:cs="Arial"/>
        </w:rPr>
        <w:br/>
      </w:r>
      <w:r w:rsidRPr="00661982">
        <w:rPr>
          <w:rFonts w:asciiTheme="minorHAnsi" w:hAnsiTheme="minorHAnsi" w:cs="Arial"/>
        </w:rPr>
        <w:br/>
      </w:r>
      <w:proofErr w:type="spellStart"/>
      <w:r w:rsidRPr="00661982">
        <w:rPr>
          <w:rFonts w:asciiTheme="minorHAnsi" w:hAnsiTheme="minorHAnsi" w:cs="Arial"/>
        </w:rPr>
        <w:t>SafeTravel</w:t>
      </w:r>
      <w:proofErr w:type="spellEnd"/>
      <w:r w:rsidRPr="00661982">
        <w:rPr>
          <w:rFonts w:asciiTheme="minorHAnsi" w:hAnsiTheme="minorHAnsi" w:cs="Arial"/>
        </w:rPr>
        <w:t xml:space="preserve"> (</w:t>
      </w:r>
      <w:hyperlink r:id="rId10" w:history="1">
        <w:r w:rsidRPr="00661982">
          <w:rPr>
            <w:rStyle w:val="Hyperlink"/>
            <w:rFonts w:asciiTheme="minorHAnsi" w:hAnsiTheme="minorHAnsi" w:cs="Arial"/>
          </w:rPr>
          <w:t>https://www.safetravel.govt.nz</w:t>
        </w:r>
      </w:hyperlink>
      <w:r w:rsidRPr="00661982">
        <w:rPr>
          <w:rFonts w:asciiTheme="minorHAnsi" w:hAnsiTheme="minorHAnsi" w:cs="Arial"/>
        </w:rPr>
        <w:t>) has added a message to their website advising all travellers to ensure that their measles vaccination is up to date prior to overseas travel.</w:t>
      </w:r>
      <w:r w:rsidRPr="00661982">
        <w:rPr>
          <w:rFonts w:asciiTheme="minorHAnsi" w:hAnsiTheme="minorHAnsi"/>
        </w:rPr>
        <w:br/>
      </w:r>
      <w:r w:rsidRPr="00661982">
        <w:rPr>
          <w:rFonts w:asciiTheme="minorHAnsi" w:hAnsiTheme="minorHAnsi"/>
        </w:rPr>
        <w:br/>
        <w:t xml:space="preserve">For any further information, please consult the Communicable Disease Manual chapter regarding measles: </w:t>
      </w:r>
      <w:hyperlink r:id="rId11" w:history="1">
        <w:r w:rsidRPr="00661982">
          <w:rPr>
            <w:rStyle w:val="Hyperlink"/>
            <w:rFonts w:asciiTheme="minorHAnsi" w:hAnsiTheme="minorHAnsi"/>
          </w:rPr>
          <w:t>https://www.health.govt.nz/our-work/diseases-and-conditions/communicable-disease-control-manual/measles</w:t>
        </w:r>
      </w:hyperlink>
      <w:r w:rsidRPr="00661982">
        <w:rPr>
          <w:rFonts w:asciiTheme="minorHAnsi" w:hAnsiTheme="minorHAnsi"/>
          <w:color w:val="2F2F2F"/>
        </w:rPr>
        <w:t xml:space="preserve"> </w:t>
      </w:r>
      <w:r w:rsidRPr="00661982">
        <w:rPr>
          <w:rFonts w:asciiTheme="minorHAnsi" w:hAnsiTheme="minorHAnsi"/>
          <w:color w:val="2F2F2F"/>
        </w:rPr>
        <w:br/>
      </w:r>
      <w:r w:rsidRPr="00661982">
        <w:rPr>
          <w:rFonts w:asciiTheme="minorHAnsi" w:hAnsiTheme="minorHAnsi"/>
          <w:color w:val="2F2F2F"/>
        </w:rPr>
        <w:br/>
      </w:r>
      <w:r w:rsidRPr="00661982">
        <w:rPr>
          <w:rFonts w:asciiTheme="minorHAnsi" w:hAnsiTheme="minorHAnsi"/>
        </w:rPr>
        <w:t>Ministry of Health measles information is available at:</w:t>
      </w:r>
      <w:r w:rsidRPr="00661982">
        <w:rPr>
          <w:rFonts w:asciiTheme="minorHAnsi" w:hAnsiTheme="minorHAnsi"/>
          <w:color w:val="2F2F2F"/>
        </w:rPr>
        <w:t xml:space="preserve"> </w:t>
      </w:r>
      <w:r w:rsidRPr="00661982">
        <w:rPr>
          <w:rFonts w:asciiTheme="minorHAnsi" w:hAnsiTheme="minorHAnsi"/>
          <w:color w:val="0000FF"/>
          <w:u w:val="single"/>
        </w:rPr>
        <w:br/>
      </w:r>
      <w:hyperlink r:id="rId12" w:history="1">
        <w:r w:rsidRPr="00661982">
          <w:rPr>
            <w:rStyle w:val="Hyperlink"/>
            <w:rFonts w:asciiTheme="minorHAnsi" w:hAnsiTheme="minorHAnsi"/>
            <w:color w:val="0082BF"/>
          </w:rPr>
          <w:t>http://www.health.govt.nz/your-health/conditions-and-treatments/diseases-and-illnesses/measles</w:t>
        </w:r>
      </w:hyperlink>
      <w:r w:rsidRPr="00661982">
        <w:rPr>
          <w:rFonts w:asciiTheme="minorHAnsi" w:hAnsiTheme="minorHAnsi"/>
          <w:color w:val="0082BF"/>
          <w:u w:val="single"/>
        </w:rPr>
        <w:t xml:space="preserve"> </w:t>
      </w:r>
      <w:r w:rsidRPr="00661982">
        <w:rPr>
          <w:rFonts w:asciiTheme="minorHAnsi" w:hAnsiTheme="minorHAnsi" w:cs="Arial"/>
        </w:rPr>
        <w:br/>
      </w:r>
      <w:r w:rsidRPr="00661982">
        <w:rPr>
          <w:rFonts w:asciiTheme="minorHAnsi" w:hAnsiTheme="minorHAnsi"/>
        </w:rPr>
        <w:br/>
      </w:r>
    </w:p>
    <w:sectPr w:rsidR="007237F5" w:rsidRPr="0066198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24" w:rsidRDefault="00C80B24" w:rsidP="00661982">
      <w:r>
        <w:separator/>
      </w:r>
    </w:p>
  </w:endnote>
  <w:endnote w:type="continuationSeparator" w:id="0">
    <w:p w:rsidR="00C80B24" w:rsidRDefault="00C80B24" w:rsidP="0066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24" w:rsidRDefault="00C80B24" w:rsidP="00661982">
      <w:r>
        <w:separator/>
      </w:r>
    </w:p>
  </w:footnote>
  <w:footnote w:type="continuationSeparator" w:id="0">
    <w:p w:rsidR="00C80B24" w:rsidRDefault="00C80B24" w:rsidP="0066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2" w:rsidRDefault="00661982" w:rsidP="00661982">
    <w:pPr>
      <w:pStyle w:val="Header"/>
      <w:jc w:val="right"/>
    </w:pPr>
    <w:r>
      <w:rPr>
        <w:noProof/>
      </w:rPr>
      <w:drawing>
        <wp:inline distT="0" distB="0" distL="0" distR="0">
          <wp:extent cx="1550823" cy="612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y-of-Health-logo.png"/>
                  <pic:cNvPicPr/>
                </pic:nvPicPr>
                <pic:blipFill>
                  <a:blip r:embed="rId1">
                    <a:extLst>
                      <a:ext uri="{28A0092B-C50C-407E-A947-70E740481C1C}">
                        <a14:useLocalDpi xmlns:a14="http://schemas.microsoft.com/office/drawing/2010/main" val="0"/>
                      </a:ext>
                    </a:extLst>
                  </a:blip>
                  <a:stretch>
                    <a:fillRect/>
                  </a:stretch>
                </pic:blipFill>
                <pic:spPr>
                  <a:xfrm>
                    <a:off x="0" y="0"/>
                    <a:ext cx="1550823" cy="61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2"/>
    <w:rsid w:val="00661982"/>
    <w:rsid w:val="007237F5"/>
    <w:rsid w:val="00C80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82"/>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982"/>
    <w:rPr>
      <w:color w:val="0000FF"/>
      <w:u w:val="single"/>
    </w:rPr>
  </w:style>
  <w:style w:type="paragraph" w:styleId="NormalWeb">
    <w:name w:val="Normal (Web)"/>
    <w:basedOn w:val="Normal"/>
    <w:uiPriority w:val="99"/>
    <w:unhideWhenUsed/>
    <w:rsid w:val="00661982"/>
    <w:pPr>
      <w:spacing w:before="100" w:beforeAutospacing="1" w:after="100" w:afterAutospacing="1"/>
    </w:pPr>
  </w:style>
  <w:style w:type="paragraph" w:styleId="Header">
    <w:name w:val="header"/>
    <w:basedOn w:val="Normal"/>
    <w:link w:val="HeaderChar"/>
    <w:uiPriority w:val="99"/>
    <w:unhideWhenUsed/>
    <w:rsid w:val="00661982"/>
    <w:pPr>
      <w:tabs>
        <w:tab w:val="center" w:pos="4513"/>
        <w:tab w:val="right" w:pos="9026"/>
      </w:tabs>
    </w:pPr>
  </w:style>
  <w:style w:type="character" w:customStyle="1" w:styleId="HeaderChar">
    <w:name w:val="Header Char"/>
    <w:basedOn w:val="DefaultParagraphFont"/>
    <w:link w:val="Header"/>
    <w:uiPriority w:val="99"/>
    <w:rsid w:val="00661982"/>
    <w:rPr>
      <w:rFonts w:ascii="Times New Roman" w:hAnsi="Times New Roman" w:cs="Times New Roman"/>
      <w:sz w:val="24"/>
      <w:szCs w:val="24"/>
      <w:lang w:eastAsia="en-NZ"/>
    </w:rPr>
  </w:style>
  <w:style w:type="paragraph" w:styleId="Footer">
    <w:name w:val="footer"/>
    <w:basedOn w:val="Normal"/>
    <w:link w:val="FooterChar"/>
    <w:uiPriority w:val="99"/>
    <w:unhideWhenUsed/>
    <w:rsid w:val="00661982"/>
    <w:pPr>
      <w:tabs>
        <w:tab w:val="center" w:pos="4513"/>
        <w:tab w:val="right" w:pos="9026"/>
      </w:tabs>
    </w:pPr>
  </w:style>
  <w:style w:type="character" w:customStyle="1" w:styleId="FooterChar">
    <w:name w:val="Footer Char"/>
    <w:basedOn w:val="DefaultParagraphFont"/>
    <w:link w:val="Footer"/>
    <w:uiPriority w:val="99"/>
    <w:rsid w:val="00661982"/>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61982"/>
    <w:rPr>
      <w:rFonts w:ascii="Tahoma" w:hAnsi="Tahoma" w:cs="Tahoma"/>
      <w:sz w:val="16"/>
      <w:szCs w:val="16"/>
    </w:rPr>
  </w:style>
  <w:style w:type="character" w:customStyle="1" w:styleId="BalloonTextChar">
    <w:name w:val="Balloon Text Char"/>
    <w:basedOn w:val="DefaultParagraphFont"/>
    <w:link w:val="BalloonText"/>
    <w:uiPriority w:val="99"/>
    <w:semiHidden/>
    <w:rsid w:val="00661982"/>
    <w:rPr>
      <w:rFonts w:ascii="Tahoma"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82"/>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982"/>
    <w:rPr>
      <w:color w:val="0000FF"/>
      <w:u w:val="single"/>
    </w:rPr>
  </w:style>
  <w:style w:type="paragraph" w:styleId="NormalWeb">
    <w:name w:val="Normal (Web)"/>
    <w:basedOn w:val="Normal"/>
    <w:uiPriority w:val="99"/>
    <w:unhideWhenUsed/>
    <w:rsid w:val="00661982"/>
    <w:pPr>
      <w:spacing w:before="100" w:beforeAutospacing="1" w:after="100" w:afterAutospacing="1"/>
    </w:pPr>
  </w:style>
  <w:style w:type="paragraph" w:styleId="Header">
    <w:name w:val="header"/>
    <w:basedOn w:val="Normal"/>
    <w:link w:val="HeaderChar"/>
    <w:uiPriority w:val="99"/>
    <w:unhideWhenUsed/>
    <w:rsid w:val="00661982"/>
    <w:pPr>
      <w:tabs>
        <w:tab w:val="center" w:pos="4513"/>
        <w:tab w:val="right" w:pos="9026"/>
      </w:tabs>
    </w:pPr>
  </w:style>
  <w:style w:type="character" w:customStyle="1" w:styleId="HeaderChar">
    <w:name w:val="Header Char"/>
    <w:basedOn w:val="DefaultParagraphFont"/>
    <w:link w:val="Header"/>
    <w:uiPriority w:val="99"/>
    <w:rsid w:val="00661982"/>
    <w:rPr>
      <w:rFonts w:ascii="Times New Roman" w:hAnsi="Times New Roman" w:cs="Times New Roman"/>
      <w:sz w:val="24"/>
      <w:szCs w:val="24"/>
      <w:lang w:eastAsia="en-NZ"/>
    </w:rPr>
  </w:style>
  <w:style w:type="paragraph" w:styleId="Footer">
    <w:name w:val="footer"/>
    <w:basedOn w:val="Normal"/>
    <w:link w:val="FooterChar"/>
    <w:uiPriority w:val="99"/>
    <w:unhideWhenUsed/>
    <w:rsid w:val="00661982"/>
    <w:pPr>
      <w:tabs>
        <w:tab w:val="center" w:pos="4513"/>
        <w:tab w:val="right" w:pos="9026"/>
      </w:tabs>
    </w:pPr>
  </w:style>
  <w:style w:type="character" w:customStyle="1" w:styleId="FooterChar">
    <w:name w:val="Footer Char"/>
    <w:basedOn w:val="DefaultParagraphFont"/>
    <w:link w:val="Footer"/>
    <w:uiPriority w:val="99"/>
    <w:rsid w:val="00661982"/>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61982"/>
    <w:rPr>
      <w:rFonts w:ascii="Tahoma" w:hAnsi="Tahoma" w:cs="Tahoma"/>
      <w:sz w:val="16"/>
      <w:szCs w:val="16"/>
    </w:rPr>
  </w:style>
  <w:style w:type="character" w:customStyle="1" w:styleId="BalloonTextChar">
    <w:name w:val="Balloon Text Char"/>
    <w:basedOn w:val="DefaultParagraphFont"/>
    <w:link w:val="BalloonText"/>
    <w:uiPriority w:val="99"/>
    <w:semiHidden/>
    <w:rsid w:val="00661982"/>
    <w:rPr>
      <w:rFonts w:ascii="Tahom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mail.trustwave.com/?c=7264&amp;d=o_723A8UIFtl9jAhdTVYTmVOReMXTRU_h1RPPVeTYA&amp;u=https%3a%2f%2fwww%2ecdc%2egov%2fmeasles%2ftravelers%2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ep@moh.govt.nz" TargetMode="External"/><Relationship Id="rId12" Type="http://schemas.openxmlformats.org/officeDocument/2006/relationships/hyperlink" Target="http://www.health.govt.nz/your-health/conditions-and-treatments/diseases-and-illnesses/meas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ealth.govt.nz/our-work/diseases-and-conditions/communicable-disease-control-manual/meas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etravel.govt.nz/" TargetMode="External"/><Relationship Id="rId4" Type="http://schemas.openxmlformats.org/officeDocument/2006/relationships/webSettings" Target="webSettings.xml"/><Relationship Id="rId9" Type="http://schemas.openxmlformats.org/officeDocument/2006/relationships/hyperlink" Target="https://www.pharmac.govt.nz/wwwtrs/ScheduleOnline.php?osq=priori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Taylar Thorpe (ADHB)</dc:creator>
  <cp:lastModifiedBy>Taylar Thorpe (ADHB)</cp:lastModifiedBy>
  <cp:revision>1</cp:revision>
  <dcterms:created xsi:type="dcterms:W3CDTF">2019-02-28T00:01:00Z</dcterms:created>
  <dcterms:modified xsi:type="dcterms:W3CDTF">2019-02-28T00:02:00Z</dcterms:modified>
</cp:coreProperties>
</file>